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A6B" w:rsidRPr="00046C1D" w:rsidRDefault="00C96A6B" w:rsidP="00046C1D">
      <w:pPr>
        <w:pStyle w:val="ConsPlusTitle"/>
        <w:jc w:val="center"/>
        <w:outlineLvl w:val="0"/>
      </w:pPr>
      <w:bookmarkStart w:id="0" w:name="_GoBack"/>
      <w:r w:rsidRPr="00046C1D">
        <w:t>ГУБЕРНАТОР АСТРАХАНСКОЙ ОБЛАСТИ</w:t>
      </w:r>
    </w:p>
    <w:p w:rsidR="00C96A6B" w:rsidRPr="00046C1D" w:rsidRDefault="00C96A6B" w:rsidP="00046C1D">
      <w:pPr>
        <w:pStyle w:val="ConsPlusTitle"/>
        <w:jc w:val="center"/>
      </w:pPr>
    </w:p>
    <w:p w:rsidR="00C96A6B" w:rsidRPr="00046C1D" w:rsidRDefault="00C96A6B" w:rsidP="00046C1D">
      <w:pPr>
        <w:pStyle w:val="ConsPlusTitle"/>
        <w:jc w:val="center"/>
      </w:pPr>
      <w:r w:rsidRPr="00046C1D">
        <w:t>ПОСТАНОВЛЕНИЕ</w:t>
      </w:r>
    </w:p>
    <w:p w:rsidR="00C96A6B" w:rsidRPr="00046C1D" w:rsidRDefault="00C96A6B" w:rsidP="00046C1D">
      <w:pPr>
        <w:pStyle w:val="ConsPlusTitle"/>
        <w:jc w:val="center"/>
      </w:pPr>
      <w:r w:rsidRPr="00046C1D">
        <w:t>от 18 мая 2009 г. N 232</w:t>
      </w:r>
    </w:p>
    <w:p w:rsidR="00C96A6B" w:rsidRPr="00046C1D" w:rsidRDefault="00C96A6B" w:rsidP="00046C1D">
      <w:pPr>
        <w:pStyle w:val="ConsPlusTitle"/>
        <w:jc w:val="center"/>
      </w:pPr>
    </w:p>
    <w:p w:rsidR="00C96A6B" w:rsidRPr="00046C1D" w:rsidRDefault="00C96A6B" w:rsidP="00046C1D">
      <w:pPr>
        <w:pStyle w:val="ConsPlusTitle"/>
        <w:jc w:val="center"/>
      </w:pPr>
      <w:r w:rsidRPr="00046C1D">
        <w:t>О ПОРЯДКЕ ПРОВЕДЕНИЯ ПРАВОВОЙ ЭКСПЕРТИЗЫ</w:t>
      </w:r>
    </w:p>
    <w:p w:rsidR="00C96A6B" w:rsidRPr="00046C1D" w:rsidRDefault="00C96A6B" w:rsidP="00046C1D">
      <w:pPr>
        <w:pStyle w:val="ConsPlusTitle"/>
        <w:jc w:val="center"/>
      </w:pPr>
      <w:r w:rsidRPr="00046C1D">
        <w:t>МУНИЦИПАЛЬНЫХ НОРМАТИВНЫХ ПРАВОВЫХ АКТОВ</w:t>
      </w:r>
    </w:p>
    <w:p w:rsidR="00C96A6B" w:rsidRPr="00046C1D" w:rsidRDefault="00C96A6B" w:rsidP="00046C1D">
      <w:pPr>
        <w:pStyle w:val="ConsPlusNormal"/>
      </w:pPr>
    </w:p>
    <w:p w:rsidR="00046C1D" w:rsidRPr="00046C1D" w:rsidRDefault="00046C1D" w:rsidP="00046C1D">
      <w:pPr>
        <w:pStyle w:val="ConsPlusNormal"/>
        <w:jc w:val="center"/>
      </w:pPr>
      <w:r w:rsidRPr="00046C1D">
        <w:t>(в редакции постановлений Губернатора Астраханской области от 07.04.2010 № 118, от 20.12.2011 № 493, от 31.01.2014 № 6, от 14.07.2021 № 69, от 23.11.2022 № 153)</w:t>
      </w:r>
    </w:p>
    <w:p w:rsidR="00046C1D" w:rsidRPr="00046C1D" w:rsidRDefault="00046C1D" w:rsidP="00046C1D">
      <w:pPr>
        <w:pStyle w:val="ConsPlusNormal"/>
        <w:jc w:val="center"/>
      </w:pP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 xml:space="preserve">В целях реализации </w:t>
      </w:r>
      <w:hyperlink r:id="rId4">
        <w:r w:rsidRPr="00046C1D">
          <w:t>Закона</w:t>
        </w:r>
      </w:hyperlink>
      <w:r w:rsidRPr="00046C1D">
        <w:t xml:space="preserve"> Астраханской области от 20.02.2009 N 7/2009-ОЗ "О порядке организации и ведения регистра муниципальных нормативных правовых актов Астраханской области" постановляю: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 xml:space="preserve">1. Утвердить прилагаемый </w:t>
      </w:r>
      <w:hyperlink w:anchor="P31">
        <w:r w:rsidRPr="00046C1D">
          <w:t>Порядок</w:t>
        </w:r>
      </w:hyperlink>
      <w:r w:rsidRPr="00046C1D">
        <w:t xml:space="preserve"> проведения правовой экспертизы муниципальных нормативных правовых актов.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2. Агентству по печати и информационным коммуникациям Астраханской области (Зайцева М.А.) опубликовать настоящее Постановление в средствах массовой информации.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3. Постановление вступает в силу со дня его подписания.</w:t>
      </w:r>
    </w:p>
    <w:p w:rsidR="00C96A6B" w:rsidRPr="00046C1D" w:rsidRDefault="00046C1D" w:rsidP="00046C1D">
      <w:pPr>
        <w:pStyle w:val="ConsPlusNormal"/>
        <w:jc w:val="right"/>
      </w:pPr>
      <w:r w:rsidRPr="00046C1D">
        <w:t xml:space="preserve"> </w:t>
      </w:r>
    </w:p>
    <w:p w:rsidR="00C96A6B" w:rsidRPr="00046C1D" w:rsidRDefault="00C96A6B" w:rsidP="00046C1D">
      <w:pPr>
        <w:pStyle w:val="ConsPlusNormal"/>
        <w:jc w:val="both"/>
      </w:pPr>
      <w:r w:rsidRPr="00046C1D">
        <w:t>Губернатор Астраханской области</w:t>
      </w:r>
      <w:r w:rsidR="00046C1D" w:rsidRPr="00046C1D">
        <w:t xml:space="preserve">                                                                                                        </w:t>
      </w:r>
      <w:r w:rsidRPr="00046C1D">
        <w:t>А.А.</w:t>
      </w:r>
      <w:r w:rsidR="00046C1D" w:rsidRPr="00046C1D">
        <w:t xml:space="preserve"> </w:t>
      </w:r>
      <w:r w:rsidRPr="00046C1D">
        <w:t>ЖИЛКИН</w:t>
      </w:r>
      <w:r w:rsidR="00046C1D" w:rsidRPr="00046C1D">
        <w:t xml:space="preserve"> </w:t>
      </w:r>
    </w:p>
    <w:p w:rsidR="00C96A6B" w:rsidRPr="00046C1D" w:rsidRDefault="00C96A6B" w:rsidP="00046C1D">
      <w:pPr>
        <w:pStyle w:val="ConsPlusNormal"/>
        <w:jc w:val="right"/>
      </w:pPr>
    </w:p>
    <w:p w:rsidR="00C96A6B" w:rsidRPr="00046C1D" w:rsidRDefault="00C96A6B" w:rsidP="00046C1D">
      <w:pPr>
        <w:pStyle w:val="ConsPlusNormal"/>
        <w:jc w:val="right"/>
      </w:pPr>
    </w:p>
    <w:p w:rsidR="00C96A6B" w:rsidRPr="00046C1D" w:rsidRDefault="00C96A6B" w:rsidP="00046C1D">
      <w:pPr>
        <w:pStyle w:val="ConsPlusNormal"/>
        <w:jc w:val="right"/>
      </w:pPr>
    </w:p>
    <w:p w:rsidR="00C96A6B" w:rsidRPr="00046C1D" w:rsidRDefault="00C96A6B" w:rsidP="00046C1D">
      <w:pPr>
        <w:pStyle w:val="ConsPlusNormal"/>
        <w:jc w:val="right"/>
      </w:pPr>
    </w:p>
    <w:p w:rsidR="00046C1D" w:rsidRPr="00046C1D" w:rsidRDefault="00046C1D" w:rsidP="00046C1D">
      <w:pPr>
        <w:pStyle w:val="ConsPlusNormal"/>
        <w:jc w:val="right"/>
      </w:pPr>
    </w:p>
    <w:p w:rsidR="00046C1D" w:rsidRPr="00046C1D" w:rsidRDefault="00046C1D" w:rsidP="00046C1D">
      <w:pPr>
        <w:pStyle w:val="ConsPlusNormal"/>
        <w:jc w:val="right"/>
      </w:pPr>
    </w:p>
    <w:p w:rsidR="00046C1D" w:rsidRPr="00046C1D" w:rsidRDefault="00046C1D" w:rsidP="00046C1D">
      <w:pPr>
        <w:pStyle w:val="ConsPlusNormal"/>
        <w:jc w:val="right"/>
      </w:pPr>
    </w:p>
    <w:p w:rsidR="00046C1D" w:rsidRPr="00046C1D" w:rsidRDefault="00046C1D" w:rsidP="00046C1D">
      <w:pPr>
        <w:pStyle w:val="ConsPlusNormal"/>
        <w:jc w:val="right"/>
      </w:pPr>
    </w:p>
    <w:p w:rsidR="00046C1D" w:rsidRPr="00046C1D" w:rsidRDefault="00046C1D" w:rsidP="00046C1D">
      <w:pPr>
        <w:pStyle w:val="ConsPlusNormal"/>
        <w:jc w:val="right"/>
      </w:pPr>
    </w:p>
    <w:p w:rsidR="00046C1D" w:rsidRPr="00046C1D" w:rsidRDefault="00046C1D" w:rsidP="00046C1D">
      <w:pPr>
        <w:pStyle w:val="ConsPlusNormal"/>
        <w:jc w:val="right"/>
      </w:pPr>
    </w:p>
    <w:p w:rsidR="00046C1D" w:rsidRPr="00046C1D" w:rsidRDefault="00046C1D" w:rsidP="00046C1D">
      <w:pPr>
        <w:pStyle w:val="ConsPlusNormal"/>
        <w:jc w:val="right"/>
      </w:pPr>
    </w:p>
    <w:p w:rsidR="00046C1D" w:rsidRPr="00046C1D" w:rsidRDefault="00046C1D" w:rsidP="00046C1D">
      <w:pPr>
        <w:pStyle w:val="ConsPlusNormal"/>
        <w:jc w:val="right"/>
      </w:pPr>
    </w:p>
    <w:p w:rsidR="00046C1D" w:rsidRPr="00046C1D" w:rsidRDefault="00046C1D" w:rsidP="00046C1D">
      <w:pPr>
        <w:pStyle w:val="ConsPlusNormal"/>
        <w:jc w:val="right"/>
      </w:pPr>
    </w:p>
    <w:p w:rsidR="00046C1D" w:rsidRPr="00046C1D" w:rsidRDefault="00046C1D" w:rsidP="00046C1D">
      <w:pPr>
        <w:pStyle w:val="ConsPlusNormal"/>
        <w:jc w:val="right"/>
      </w:pPr>
    </w:p>
    <w:p w:rsidR="00046C1D" w:rsidRPr="00046C1D" w:rsidRDefault="00046C1D" w:rsidP="00046C1D">
      <w:pPr>
        <w:pStyle w:val="ConsPlusNormal"/>
        <w:jc w:val="right"/>
      </w:pPr>
    </w:p>
    <w:p w:rsidR="00046C1D" w:rsidRPr="00046C1D" w:rsidRDefault="00046C1D" w:rsidP="00046C1D">
      <w:pPr>
        <w:pStyle w:val="ConsPlusNormal"/>
        <w:jc w:val="right"/>
      </w:pPr>
    </w:p>
    <w:p w:rsidR="00046C1D" w:rsidRPr="00046C1D" w:rsidRDefault="00046C1D" w:rsidP="00046C1D">
      <w:pPr>
        <w:pStyle w:val="ConsPlusNormal"/>
        <w:jc w:val="right"/>
      </w:pPr>
    </w:p>
    <w:p w:rsidR="00046C1D" w:rsidRPr="00046C1D" w:rsidRDefault="00046C1D" w:rsidP="00046C1D">
      <w:pPr>
        <w:pStyle w:val="ConsPlusNormal"/>
        <w:jc w:val="right"/>
      </w:pPr>
    </w:p>
    <w:p w:rsidR="00046C1D" w:rsidRPr="00046C1D" w:rsidRDefault="00046C1D" w:rsidP="00046C1D">
      <w:pPr>
        <w:pStyle w:val="ConsPlusNormal"/>
        <w:jc w:val="right"/>
      </w:pPr>
    </w:p>
    <w:p w:rsidR="00046C1D" w:rsidRPr="00046C1D" w:rsidRDefault="00046C1D" w:rsidP="00046C1D">
      <w:pPr>
        <w:pStyle w:val="ConsPlusNormal"/>
        <w:jc w:val="right"/>
      </w:pPr>
    </w:p>
    <w:p w:rsidR="00046C1D" w:rsidRPr="00046C1D" w:rsidRDefault="00046C1D" w:rsidP="00046C1D">
      <w:pPr>
        <w:pStyle w:val="ConsPlusNormal"/>
        <w:jc w:val="right"/>
      </w:pPr>
    </w:p>
    <w:p w:rsidR="00046C1D" w:rsidRPr="00046C1D" w:rsidRDefault="00046C1D" w:rsidP="00046C1D">
      <w:pPr>
        <w:pStyle w:val="ConsPlusNormal"/>
        <w:jc w:val="right"/>
      </w:pPr>
    </w:p>
    <w:p w:rsidR="00046C1D" w:rsidRPr="00046C1D" w:rsidRDefault="00046C1D" w:rsidP="00046C1D">
      <w:pPr>
        <w:pStyle w:val="ConsPlusNormal"/>
        <w:jc w:val="right"/>
      </w:pPr>
    </w:p>
    <w:p w:rsidR="00046C1D" w:rsidRPr="00046C1D" w:rsidRDefault="00046C1D" w:rsidP="00046C1D">
      <w:pPr>
        <w:pStyle w:val="ConsPlusNormal"/>
        <w:jc w:val="right"/>
      </w:pPr>
    </w:p>
    <w:p w:rsidR="00046C1D" w:rsidRPr="00046C1D" w:rsidRDefault="00046C1D" w:rsidP="00046C1D">
      <w:pPr>
        <w:pStyle w:val="ConsPlusNormal"/>
        <w:jc w:val="right"/>
      </w:pPr>
    </w:p>
    <w:p w:rsidR="00046C1D" w:rsidRPr="00046C1D" w:rsidRDefault="00046C1D" w:rsidP="00046C1D">
      <w:pPr>
        <w:pStyle w:val="ConsPlusNormal"/>
        <w:jc w:val="right"/>
      </w:pPr>
    </w:p>
    <w:p w:rsidR="00046C1D" w:rsidRPr="00046C1D" w:rsidRDefault="00046C1D" w:rsidP="00046C1D">
      <w:pPr>
        <w:pStyle w:val="ConsPlusNormal"/>
        <w:jc w:val="right"/>
      </w:pPr>
    </w:p>
    <w:p w:rsidR="00046C1D" w:rsidRPr="00046C1D" w:rsidRDefault="00046C1D" w:rsidP="00046C1D">
      <w:pPr>
        <w:pStyle w:val="ConsPlusNormal"/>
        <w:jc w:val="right"/>
      </w:pPr>
    </w:p>
    <w:p w:rsidR="00046C1D" w:rsidRPr="00046C1D" w:rsidRDefault="00046C1D" w:rsidP="00046C1D">
      <w:pPr>
        <w:pStyle w:val="ConsPlusNormal"/>
        <w:jc w:val="right"/>
      </w:pPr>
    </w:p>
    <w:p w:rsidR="00C96A6B" w:rsidRPr="00046C1D" w:rsidRDefault="00C96A6B" w:rsidP="00046C1D">
      <w:pPr>
        <w:pStyle w:val="ConsPlusNormal"/>
        <w:jc w:val="right"/>
      </w:pPr>
    </w:p>
    <w:p w:rsidR="00C96A6B" w:rsidRPr="00046C1D" w:rsidRDefault="00C96A6B" w:rsidP="00046C1D">
      <w:pPr>
        <w:pStyle w:val="ConsPlusNormal"/>
        <w:jc w:val="right"/>
        <w:outlineLvl w:val="0"/>
      </w:pPr>
      <w:r w:rsidRPr="00046C1D">
        <w:t>Утвержден</w:t>
      </w:r>
    </w:p>
    <w:p w:rsidR="00C96A6B" w:rsidRPr="00046C1D" w:rsidRDefault="00C96A6B" w:rsidP="00046C1D">
      <w:pPr>
        <w:pStyle w:val="ConsPlusNormal"/>
        <w:jc w:val="right"/>
      </w:pPr>
      <w:r w:rsidRPr="00046C1D">
        <w:t>Постановлением Губернатора</w:t>
      </w:r>
    </w:p>
    <w:p w:rsidR="00C96A6B" w:rsidRPr="00046C1D" w:rsidRDefault="00C96A6B" w:rsidP="00046C1D">
      <w:pPr>
        <w:pStyle w:val="ConsPlusNormal"/>
        <w:jc w:val="right"/>
      </w:pPr>
      <w:r w:rsidRPr="00046C1D">
        <w:t>Астраханской области</w:t>
      </w:r>
    </w:p>
    <w:p w:rsidR="00C96A6B" w:rsidRPr="00046C1D" w:rsidRDefault="00C96A6B" w:rsidP="00046C1D">
      <w:pPr>
        <w:pStyle w:val="ConsPlusNormal"/>
        <w:jc w:val="right"/>
      </w:pPr>
      <w:r w:rsidRPr="00046C1D">
        <w:lastRenderedPageBreak/>
        <w:t>от 18 мая 2009 г. N 232</w:t>
      </w:r>
    </w:p>
    <w:p w:rsidR="00C96A6B" w:rsidRPr="00046C1D" w:rsidRDefault="00C96A6B" w:rsidP="00046C1D">
      <w:pPr>
        <w:pStyle w:val="ConsPlusNormal"/>
        <w:jc w:val="center"/>
      </w:pPr>
    </w:p>
    <w:p w:rsidR="00C96A6B" w:rsidRPr="00046C1D" w:rsidRDefault="00C96A6B" w:rsidP="00046C1D">
      <w:pPr>
        <w:pStyle w:val="ConsPlusTitle"/>
        <w:jc w:val="center"/>
      </w:pPr>
      <w:bookmarkStart w:id="1" w:name="P31"/>
      <w:bookmarkEnd w:id="1"/>
      <w:r w:rsidRPr="00046C1D">
        <w:t>ПОРЯДОК</w:t>
      </w:r>
    </w:p>
    <w:p w:rsidR="00C96A6B" w:rsidRPr="00046C1D" w:rsidRDefault="00C96A6B" w:rsidP="00046C1D">
      <w:pPr>
        <w:pStyle w:val="ConsPlusTitle"/>
        <w:jc w:val="center"/>
      </w:pPr>
      <w:r w:rsidRPr="00046C1D">
        <w:t>ПРОВЕДЕНИЯ ПРАВОВОЙ ЭКСПЕРТИЗЫ МУНИЦИПАЛЬНЫХ</w:t>
      </w:r>
    </w:p>
    <w:p w:rsidR="00C96A6B" w:rsidRPr="00046C1D" w:rsidRDefault="00C96A6B" w:rsidP="00046C1D">
      <w:pPr>
        <w:pStyle w:val="ConsPlusTitle"/>
        <w:jc w:val="center"/>
      </w:pPr>
      <w:r w:rsidRPr="00046C1D">
        <w:t>НОРМАТИВНЫХ ПРАВОВЫХ АКТОВ</w:t>
      </w:r>
    </w:p>
    <w:p w:rsidR="00C96A6B" w:rsidRPr="00046C1D" w:rsidRDefault="00C96A6B" w:rsidP="00046C1D">
      <w:pPr>
        <w:pStyle w:val="ConsPlusTitle"/>
        <w:jc w:val="center"/>
        <w:outlineLvl w:val="1"/>
      </w:pPr>
      <w:r w:rsidRPr="00046C1D">
        <w:t>1. Общие положения</w:t>
      </w:r>
    </w:p>
    <w:p w:rsidR="00C96A6B" w:rsidRPr="00046C1D" w:rsidRDefault="00C96A6B" w:rsidP="00046C1D">
      <w:pPr>
        <w:pStyle w:val="ConsPlusNormal"/>
        <w:jc w:val="center"/>
      </w:pP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 xml:space="preserve">1.1. Настоящий Порядок проведения правовой экспертизы муниципальных нормативных правовых актов (далее - Порядок) разработан в соответствии с </w:t>
      </w:r>
      <w:hyperlink r:id="rId5">
        <w:r w:rsidRPr="00046C1D">
          <w:t>Законом</w:t>
        </w:r>
      </w:hyperlink>
      <w:r w:rsidRPr="00046C1D">
        <w:t xml:space="preserve"> Астраханской области от 20.02.2009 N 7/2009-ОЗ "О порядке организации и ведения регистра муниципальных нормативных правовых актов Астраханской области" и определяет процедуру проведения правовой экспертизы муниципальных нормативных правовых актов, в том числе оформленных в виде правовых актов решений, принятых на местном референдуме (сходе граждан), включенных в регистр муниципальных нормативных правовых актов Астраханской области (далее - муниципальные правовые акты).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 xml:space="preserve">1.2. Правовая экспертиза муниципальных правовых актов осуществляется в целях обеспечения их соответствия </w:t>
      </w:r>
      <w:hyperlink r:id="rId6">
        <w:r w:rsidRPr="00046C1D">
          <w:t>Конституции</w:t>
        </w:r>
      </w:hyperlink>
      <w:r w:rsidRPr="00046C1D">
        <w:t xml:space="preserve"> Российской Федерации, федеральному законодательству, законодательству Астраханской области и уставу соответствующего муниципального образования Астраханской области (далее - законодательство).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1.3. Правовая экспертиза муниципальных правовых актов проводится в срок не более 45 рабочих дней со дня включения муниципального правового акта в регистр муниципальных нормативных правовых актов Астраханской области (далее - регистр). При необходимости срок может быть продлен заместителем руководителя администрации Губернатора Астраханской области - начальником государственно-правового управления администрации Губернатора Астраханской области, но не более чем на 10 рабочих дней.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1.4. В целях проведения дополнительного анализа содержащихся в муниципальном правовом акте норм в области градостроительной деятельности, противодействия коррупции, бюджетных, жилищных, земельных, лесных, водных отношений государственно-правовое управление администрации Губернатора Астраханской области может направлять письменные запросы по муниципальным правовым актам в исполнительные органы Астраханской области согласно установленной сфере их деятельности и предмету правового регулирования муниципального правового акта не позднее 14 рабочих дней со дня включения муниципального правового акта в регистр.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Исполнительные органы Астраханской области подготавливают ответы на запросы по муниципальным правовым актам и направляют их в государственно-правовое управление администрации Губернатора Астраханской области для подготовки экспертного заключения о соответствии (несоответствии) муниципального правового акта законодательству не позднее 14 рабочих дней со дня поступления запроса в исполнительные органы Астраханской области.</w:t>
      </w:r>
    </w:p>
    <w:p w:rsidR="00C96A6B" w:rsidRPr="00046C1D" w:rsidRDefault="00C96A6B" w:rsidP="00046C1D">
      <w:pPr>
        <w:pStyle w:val="ConsPlusNormal"/>
        <w:jc w:val="center"/>
      </w:pPr>
    </w:p>
    <w:p w:rsidR="00C96A6B" w:rsidRPr="00046C1D" w:rsidRDefault="00C96A6B" w:rsidP="00046C1D">
      <w:pPr>
        <w:pStyle w:val="ConsPlusTitle"/>
        <w:jc w:val="center"/>
        <w:outlineLvl w:val="1"/>
      </w:pPr>
      <w:r w:rsidRPr="00046C1D">
        <w:t>2. Проведение правовой экспертизы</w:t>
      </w:r>
    </w:p>
    <w:p w:rsidR="00C96A6B" w:rsidRPr="00046C1D" w:rsidRDefault="00C96A6B" w:rsidP="00046C1D">
      <w:pPr>
        <w:pStyle w:val="ConsPlusTitle"/>
        <w:jc w:val="center"/>
      </w:pPr>
      <w:r w:rsidRPr="00046C1D">
        <w:t>муниципальных правовых актов</w:t>
      </w:r>
    </w:p>
    <w:p w:rsidR="00C96A6B" w:rsidRPr="00046C1D" w:rsidRDefault="00C96A6B" w:rsidP="00046C1D">
      <w:pPr>
        <w:pStyle w:val="ConsPlusNormal"/>
        <w:jc w:val="center"/>
      </w:pP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2.1. Правовая экспертиза заключается в правовой оценке вида муниципального правового акта, предмета правового регулирования, компетенции органа местного самоуправления, выборного или иного должностного лица местного самоуправления (далее - орган), принявшего (издавшего) муниципальный правовой акт, содержащихся в нем норм на соответствие требованиям законодательства, а также порядка его принятия (издания) и опубликования.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2.2. Правовая экспертиза не проводится в отношении: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- решений, принятых на местном референдуме (сходе граждан);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- отмененных (признанных утратившими силу) муниципальных правовых актов;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- муниципальных правовых актов, имеющих срочный характер действия;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- муниципальных правовых актов, срок действия которых истек.</w:t>
      </w:r>
    </w:p>
    <w:p w:rsidR="00C96A6B" w:rsidRPr="00046C1D" w:rsidRDefault="00C96A6B" w:rsidP="00046C1D">
      <w:pPr>
        <w:pStyle w:val="ConsPlusNormal"/>
        <w:ind w:firstLine="540"/>
        <w:jc w:val="both"/>
      </w:pPr>
      <w:bookmarkStart w:id="2" w:name="P63"/>
      <w:bookmarkEnd w:id="2"/>
      <w:r w:rsidRPr="00046C1D">
        <w:t xml:space="preserve">2.3. При поступлении муниципального правового акта, вносящего изменение нормативного характера в основной (первоначальный) муниципальный правовой акт, проводится правовая </w:t>
      </w:r>
      <w:r w:rsidRPr="00046C1D">
        <w:lastRenderedPageBreak/>
        <w:t>экспертиза основного (первоначального) муниципального правового акта с учетом внесенных изменений.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В случае если к основному (первоначальному) муниципальному правовому акту с учетом внесенных изменений не имеется дополнительных сведений о его противоречии законодательству, в регистре содержится запись, что данный муниципальный правовой акт "соответствует федеральному законодательству, законодательству субъектов Российской Федерации и уставу муниципального образования".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2.4. При проведении правовой экспертизы муниципального правового акта, признающего утратившим силу другой муниципальный правовой акт, оценивается компетенция органа, его принявшего (издавшего), а также возможность возникновения пробелов в правовом регулировании в результате отмены муниципального правового акта.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2.5. При проведении правовой экспертизы устанавливается следующее: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во исполнение или в соответствии с каким федеральным законом (иным актом законодательства) принят (издан) муниципальный правовой акт;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соответствуют ли правовые основания, обусловившие его принятие (издание), основаниям, указанным в законодательстве, а также в решениях Конституционного Суда Российской Федерации, затрагивающих соответствующие правоотношения, и иных органов судебной власти Российской Федерации.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2.6. В ходе правовой экспертизы также оценивается соблюдение правил юридической техники при подготовке муниципального правового акта, то есть наличие набора реквизитов, вид муниципального правового акта, правильность использования юридической терминологии.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Муниципальный правовой акт должен иметь следующие элементы: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соответствующий вид муниципального правового акта;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наименование органа, принявшего (издавшего) муниципальный правовой акт;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наименование муниципального правового акта, в котором в краткой форме должен быть отражен предмет правового регулирования и которое должно соответствовать содержанию муниципального правового акта;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дату принятия (подписания) муниципального правового акта;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номер муниципального правового акта;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полное наименование должности лица, подписавшего муниципальный правовой акт;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дату (срок) и порядок вступления в силу.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2.7. При оценке юридических терминов должно быть проанализировано следующее: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употребляется ли один и тот же термин в данном муниципальном правовом акте в одном и том же значении;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имеют ли термины общепринятое значение;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обеспечено ли единство понятий и терминологии с понятиями и терминологией, используемыми в законодательстве.</w:t>
      </w:r>
    </w:p>
    <w:p w:rsidR="00C96A6B" w:rsidRPr="00046C1D" w:rsidRDefault="00C96A6B" w:rsidP="00046C1D">
      <w:pPr>
        <w:pStyle w:val="ConsPlusNormal"/>
        <w:ind w:firstLine="540"/>
        <w:jc w:val="both"/>
      </w:pPr>
      <w:bookmarkStart w:id="3" w:name="P92"/>
      <w:bookmarkEnd w:id="3"/>
      <w:r w:rsidRPr="00046C1D">
        <w:t>2.8. Основными признаками противоречия муниципального правового акта законодательству являются: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отсутствие правовых оснований, которые в соответствии с законодательством необходимы для принятия (издания) муниципального правового акта;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принятие (издание) муниципального правового акта во исполнение отмененного закона (иного акта законодательства);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неправильный выбор закона (иного акта законодательства), примененного при принятии (издании) муниципального правового акта;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принятие (издание) муниципального правового акта органом, к компетенции которого не относится регулирование соответствующих правоотношений, либо издание с превышением полномочий, предоставленных данному органу;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нарушение порядка принятия (издания) муниципального правового акта;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содержание в муниципальном правовом акте норм и положений, противоречащих нормам законодательства;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нарушение порядка введения муниципального правового акта в действие.</w:t>
      </w:r>
    </w:p>
    <w:p w:rsidR="00C96A6B" w:rsidRPr="00046C1D" w:rsidRDefault="00C96A6B" w:rsidP="00046C1D">
      <w:pPr>
        <w:pStyle w:val="ConsPlusNormal"/>
        <w:jc w:val="center"/>
      </w:pPr>
    </w:p>
    <w:p w:rsidR="00C96A6B" w:rsidRPr="00046C1D" w:rsidRDefault="00C96A6B" w:rsidP="00046C1D">
      <w:pPr>
        <w:pStyle w:val="ConsPlusTitle"/>
        <w:jc w:val="center"/>
        <w:outlineLvl w:val="1"/>
      </w:pPr>
      <w:r w:rsidRPr="00046C1D">
        <w:t>3. Подготовка экспертного заключения</w:t>
      </w:r>
    </w:p>
    <w:p w:rsidR="00C96A6B" w:rsidRPr="00046C1D" w:rsidRDefault="00C96A6B" w:rsidP="00046C1D">
      <w:pPr>
        <w:pStyle w:val="ConsPlusNormal"/>
        <w:jc w:val="center"/>
      </w:pP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 xml:space="preserve">3.1. По результатам проведения правовой экспертизы муниципального правового акта составляется экспертное заключение о соответствии муниципального правового акта законодательству, за исключением случая, указанного в </w:t>
      </w:r>
      <w:hyperlink w:anchor="P63">
        <w:r w:rsidRPr="00046C1D">
          <w:t>пункте 2.3 раздела 2</w:t>
        </w:r>
      </w:hyperlink>
      <w:r w:rsidRPr="00046C1D">
        <w:t xml:space="preserve"> настоящего Порядка, либо о несоответствии муниципального правового акта законодательству.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Экспертное заключение о соответствии (несоответствии) муниципального правового акта законодательству подписывается заместителем руководителя администрации Губернатора Астраханской области - начальником государственно-правового управления администрации Губернатора Астраханской области либо лицом, исполняющим его обязанности.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3.2. В экспертном заключении о соответствии муниципального правового акта законодательству указываются: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вид муниципального правового акта, наименование принявшего (издавшего) его органа, дата принятия (подписания) муниципального правового акта, его номер и наименование (далее - реквизиты муниципального правового акта) (в случае, если проводится правовая экспертиза муниципального правового акта с изменениями и дополнениями, то указываются реквизиты всех муниципальных правовых актов, вносящих изменения и дополнения, по которым осуществлялась правовая экспертиза);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вывод о соответствии муниципального правового акта законодательству;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вывод о наличии (отсутствии) в муниципальном правовом акте нарушений правил юридической техники.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3.3. В случае, если по результатам проведения правовой экспертизы муниципального правового акта сделан вывод о его соответствии законодательству, однако выявлены нарушения правил юридической техники, в адрес органа, принявшего (издавшего) данный муниципальный правовой акт, в течение трех рабочих дней с момента подписания экспертного заключения о соответствии муниципального правового акта законодательству направляется письмо государственно-правового управления администрации Губернатора Астраханской области о выявленных нарушениях.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3.4. В экспертном заключении о несоответствии муниципального правового акта законодательству указываются: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реквизиты муниципального правового акта (в случае, если проводится правовая экспертиза муниципального правового акта с изменениями и дополнениями, то указываются реквизиты всех муниципальных правовых актов, вносящих изменения и дополнения, по которым осуществлялась правовая экспертиза);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повод проведения правовой экспертизы муниципального правового акта;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 xml:space="preserve">предмет регулирования и его соответствие предметам ведения органов местного самоуправления, установленным законодательством (с указанием конкретных статей и </w:t>
      </w:r>
      <w:proofErr w:type="gramStart"/>
      <w:r w:rsidRPr="00046C1D">
        <w:t>пунктов</w:t>
      </w:r>
      <w:proofErr w:type="gramEnd"/>
      <w:r w:rsidRPr="00046C1D">
        <w:t xml:space="preserve"> соответствующих нормативных правовых актов);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оценка компетенции органа, принявшего (издавшего) муниципальный правовой акт;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вывод о несоответствии муниципального правового акта законодательству;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вывод о соответствии (несоответствии) вида и текста муниципального правового акта правилам юридической техники.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 xml:space="preserve">3.5. Экспертное заключение о несоответствии муниципального правового акта законодательству составляется в случае выявления в ходе правовой экспертизы в муниципальном правовом акте одного или нескольких признаков, указанных в </w:t>
      </w:r>
      <w:hyperlink w:anchor="P92">
        <w:r w:rsidRPr="00046C1D">
          <w:t>пункте 2.8</w:t>
        </w:r>
      </w:hyperlink>
      <w:r w:rsidRPr="00046C1D">
        <w:t xml:space="preserve"> настоящего Порядка.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При составлении экспертного заключения о несоответствии муниципального правового акта законодательству описываются и анализируются конкретные нормы рассматриваемого муниципального правового акта, противоречащие законодательству.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При описании норм муниципального правового акта указывается следующее: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положение (подпункт, пункт, абзац, часть статьи, статья, часть, раздел) муниципального правового акта, противоречащее законодательству, а также его содержание;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нарушенные положения законодательства (подпункт, пункт, абзац, часть статьи, статья, часть, раздел соответствующего нормативного правового акта) и изложение их содержания.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 xml:space="preserve">Если вывод о несоответствии нормы муниципального правового акта аргументируется несколькими логически взаимосвязанными нормами, указывается, каким именно из них </w:t>
      </w:r>
      <w:r w:rsidRPr="00046C1D">
        <w:lastRenderedPageBreak/>
        <w:t>противоречит норма муниципального правового акта.</w:t>
      </w:r>
    </w:p>
    <w:p w:rsidR="00C96A6B" w:rsidRPr="00046C1D" w:rsidRDefault="00C96A6B" w:rsidP="00046C1D">
      <w:pPr>
        <w:pStyle w:val="ConsPlusNormal"/>
        <w:ind w:firstLine="540"/>
        <w:jc w:val="both"/>
      </w:pPr>
      <w:r w:rsidRPr="00046C1D">
        <w:t>3.6. Экспертное заключение о несоответствии муниципального правового акта законодательству направляется вместе с предложением Правительства Астраханской области о приведении в соответствие с законодательством Российской Федерации муниципального правового акта в орган местного самоуправления, должностному лицу местного самоуправления, издавшему муниципальный правовой акт, в порядке, установленном Регламентом Правительства Астраханской области, и в прокуратуру Астраханской области.</w:t>
      </w:r>
    </w:p>
    <w:p w:rsidR="00C96A6B" w:rsidRPr="00046C1D" w:rsidRDefault="00C96A6B" w:rsidP="00046C1D">
      <w:pPr>
        <w:pStyle w:val="ConsPlusNormal"/>
        <w:jc w:val="center"/>
      </w:pPr>
    </w:p>
    <w:p w:rsidR="00C96A6B" w:rsidRPr="00046C1D" w:rsidRDefault="00C96A6B" w:rsidP="00046C1D">
      <w:pPr>
        <w:pStyle w:val="ConsPlusTitle"/>
        <w:jc w:val="center"/>
        <w:outlineLvl w:val="1"/>
      </w:pPr>
      <w:r w:rsidRPr="00046C1D">
        <w:t>4. Организация работы по приведению муниципального</w:t>
      </w:r>
    </w:p>
    <w:p w:rsidR="00C96A6B" w:rsidRPr="00046C1D" w:rsidRDefault="00C96A6B" w:rsidP="00046C1D">
      <w:pPr>
        <w:pStyle w:val="ConsPlusTitle"/>
        <w:jc w:val="center"/>
      </w:pPr>
      <w:r w:rsidRPr="00046C1D">
        <w:t>правового акта в соответствие с действующим</w:t>
      </w:r>
    </w:p>
    <w:p w:rsidR="00C96A6B" w:rsidRPr="00046C1D" w:rsidRDefault="00C96A6B" w:rsidP="00046C1D">
      <w:pPr>
        <w:pStyle w:val="ConsPlusTitle"/>
        <w:jc w:val="center"/>
      </w:pPr>
      <w:r w:rsidRPr="00046C1D">
        <w:t>законодательством</w:t>
      </w:r>
    </w:p>
    <w:p w:rsidR="00C96A6B" w:rsidRPr="00046C1D" w:rsidRDefault="00C96A6B" w:rsidP="00046C1D">
      <w:pPr>
        <w:pStyle w:val="ConsPlusNormal"/>
        <w:jc w:val="center"/>
      </w:pPr>
    </w:p>
    <w:p w:rsidR="00C96A6B" w:rsidRPr="00046C1D" w:rsidRDefault="00C96A6B" w:rsidP="00046C1D">
      <w:pPr>
        <w:pStyle w:val="ConsPlusNormal"/>
        <w:ind w:firstLine="539"/>
        <w:jc w:val="both"/>
      </w:pPr>
      <w:r w:rsidRPr="00046C1D">
        <w:t xml:space="preserve">Исключен. - </w:t>
      </w:r>
      <w:bookmarkEnd w:id="0"/>
    </w:p>
    <w:sectPr w:rsidR="00C96A6B" w:rsidRPr="00046C1D" w:rsidSect="008B0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A6B"/>
    <w:rsid w:val="00046C1D"/>
    <w:rsid w:val="00C96A6B"/>
    <w:rsid w:val="00E5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0733"/>
  <w15:chartTrackingRefBased/>
  <w15:docId w15:val="{2FB4E405-D312-491E-8A9A-4D538314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A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96A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96A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3A01A5319414F44C9ED6384E583741D8267CB71EA650CC24E5972FE2368836E7D806282E04DF4DEED64DlCQDE" TargetMode="External"/><Relationship Id="rId5" Type="http://schemas.openxmlformats.org/officeDocument/2006/relationships/hyperlink" Target="consultantplus://offline/ref=3D3A01A5319414F44C9EC83558346A4ED82525BF14F00B9A2DE09F7DB536D473B1D10C7961408C5EEDD351CE18A6612040l1QFE" TargetMode="External"/><Relationship Id="rId4" Type="http://schemas.openxmlformats.org/officeDocument/2006/relationships/hyperlink" Target="consultantplus://offline/ref=3D3A01A5319414F44C9EC83558346A4ED82525BF14F00B9A2DE09F7DB536D473B1D10C797340D452ECD64FCA1FB337710649B35D5849E7C56E9AED28lEQ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Тулепбергенова Ольга Владимировна</dc:creator>
  <cp:keywords/>
  <dc:description/>
  <cp:lastModifiedBy>Тулепбергенова Ольга Владимировна</cp:lastModifiedBy>
  <cp:revision>2</cp:revision>
  <dcterms:created xsi:type="dcterms:W3CDTF">2023-06-15T04:16:00Z</dcterms:created>
  <dcterms:modified xsi:type="dcterms:W3CDTF">2023-06-15T04:21:00Z</dcterms:modified>
</cp:coreProperties>
</file>